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36235" w14:textId="77777777" w:rsidR="00FE70EE" w:rsidRPr="00FE70EE" w:rsidRDefault="00FE70EE" w:rsidP="00FE70EE">
      <w:pPr>
        <w:widowControl/>
        <w:shd w:val="clear" w:color="auto" w:fill="FFFFFF"/>
        <w:outlineLvl w:val="1"/>
        <w:rPr>
          <w:rFonts w:ascii="標楷體" w:eastAsia="標楷體" w:hAnsi="標楷體" w:cs="新細明體"/>
          <w:b/>
          <w:bCs/>
          <w:color w:val="7030A0"/>
          <w:kern w:val="0"/>
          <w:sz w:val="26"/>
          <w:szCs w:val="26"/>
        </w:rPr>
      </w:pPr>
      <w:r w:rsidRPr="00FE70EE">
        <w:rPr>
          <w:rFonts w:ascii="標楷體" w:eastAsia="標楷體" w:hAnsi="標楷體" w:cs="新細明體" w:hint="eastAsia"/>
          <w:b/>
          <w:bCs/>
          <w:color w:val="7030A0"/>
          <w:kern w:val="0"/>
          <w:sz w:val="26"/>
          <w:szCs w:val="26"/>
        </w:rPr>
        <w:t>吃什麼降膽固醇最快？10種降低膽固醇的食物</w:t>
      </w:r>
    </w:p>
    <w:p w14:paraId="57BB6372" w14:textId="77777777" w:rsidR="00FE70EE" w:rsidRPr="00FE70EE" w:rsidRDefault="00FE70EE" w:rsidP="00FE70EE">
      <w:pPr>
        <w:widowControl/>
        <w:shd w:val="clear" w:color="auto" w:fill="FFFFFF"/>
        <w:rPr>
          <w:rFonts w:ascii="標楷體" w:eastAsia="標楷體" w:hAnsi="標楷體" w:cs="Poppins" w:hint="eastAsia"/>
          <w:color w:val="7030A0"/>
          <w:kern w:val="0"/>
          <w:sz w:val="26"/>
          <w:szCs w:val="26"/>
        </w:rPr>
      </w:pPr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飲食是調節膽固醇最直接的方法之</w:t>
      </w:r>
      <w:proofErr w:type="gramStart"/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一</w:t>
      </w:r>
      <w:proofErr w:type="gramEnd"/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。以下整理 10 種有助降低膽固醇的食物，並附上食用方式與科學解釋：</w:t>
      </w:r>
    </w:p>
    <w:p w14:paraId="4AE2DE3C" w14:textId="77777777" w:rsidR="00FE70EE" w:rsidRPr="00FE70EE" w:rsidRDefault="00FE70EE" w:rsidP="00FE70EE">
      <w:pPr>
        <w:widowControl/>
        <w:shd w:val="clear" w:color="auto" w:fill="FFFFFF"/>
        <w:outlineLvl w:val="2"/>
        <w:rPr>
          <w:rFonts w:ascii="標楷體" w:eastAsia="標楷體" w:hAnsi="標楷體" w:cs="新細明體"/>
          <w:b/>
          <w:bCs/>
          <w:color w:val="7030A0"/>
          <w:kern w:val="0"/>
          <w:sz w:val="26"/>
          <w:szCs w:val="26"/>
        </w:rPr>
      </w:pPr>
      <w:r w:rsidRPr="00FE70EE">
        <w:rPr>
          <w:rFonts w:ascii="標楷體" w:eastAsia="標楷體" w:hAnsi="標楷體" w:cs="新細明體" w:hint="eastAsia"/>
          <w:b/>
          <w:bCs/>
          <w:color w:val="7030A0"/>
          <w:kern w:val="0"/>
          <w:sz w:val="26"/>
          <w:szCs w:val="26"/>
        </w:rPr>
        <w:t>1. 燕麥</w:t>
      </w:r>
    </w:p>
    <w:p w14:paraId="7C748B1F" w14:textId="77777777" w:rsidR="00FE70EE" w:rsidRPr="00FE70EE" w:rsidRDefault="00FE70EE" w:rsidP="00FE70EE">
      <w:pPr>
        <w:widowControl/>
        <w:numPr>
          <w:ilvl w:val="0"/>
          <w:numId w:val="1"/>
        </w:numPr>
        <w:shd w:val="clear" w:color="auto" w:fill="FFFFFF"/>
        <w:rPr>
          <w:rFonts w:ascii="標楷體" w:eastAsia="標楷體" w:hAnsi="標楷體" w:cs="Poppins" w:hint="eastAsia"/>
          <w:color w:val="7030A0"/>
          <w:kern w:val="0"/>
          <w:sz w:val="26"/>
          <w:szCs w:val="26"/>
        </w:rPr>
      </w:pPr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富含可溶性纖維 β-</w:t>
      </w:r>
      <w:proofErr w:type="gramStart"/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葡聚糖</w:t>
      </w:r>
      <w:proofErr w:type="gramEnd"/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，可與膽固醇結合，減少腸道吸收。</w:t>
      </w:r>
    </w:p>
    <w:p w14:paraId="1E0A109C" w14:textId="77777777" w:rsidR="00FE70EE" w:rsidRPr="00FE70EE" w:rsidRDefault="00FE70EE" w:rsidP="00FE70EE">
      <w:pPr>
        <w:widowControl/>
        <w:numPr>
          <w:ilvl w:val="0"/>
          <w:numId w:val="1"/>
        </w:numPr>
        <w:shd w:val="clear" w:color="auto" w:fill="FFFFFF"/>
        <w:rPr>
          <w:rFonts w:ascii="標楷體" w:eastAsia="標楷體" w:hAnsi="標楷體" w:cs="Poppins"/>
          <w:color w:val="7030A0"/>
          <w:kern w:val="0"/>
          <w:sz w:val="26"/>
          <w:szCs w:val="26"/>
        </w:rPr>
      </w:pPr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建議早餐搭配牛奶、</w:t>
      </w:r>
      <w:proofErr w:type="gramStart"/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豆漿或優格</w:t>
      </w:r>
      <w:proofErr w:type="gramEnd"/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，或製作燕麥粥，可長期攝取。</w:t>
      </w:r>
    </w:p>
    <w:p w14:paraId="032BFD54" w14:textId="77777777" w:rsidR="00FE70EE" w:rsidRPr="00FE70EE" w:rsidRDefault="00FE70EE" w:rsidP="00FE70EE">
      <w:pPr>
        <w:widowControl/>
        <w:shd w:val="clear" w:color="auto" w:fill="FFFFFF"/>
        <w:outlineLvl w:val="2"/>
        <w:rPr>
          <w:rFonts w:ascii="標楷體" w:eastAsia="標楷體" w:hAnsi="標楷體" w:cs="新細明體"/>
          <w:b/>
          <w:bCs/>
          <w:color w:val="7030A0"/>
          <w:kern w:val="0"/>
          <w:sz w:val="26"/>
          <w:szCs w:val="26"/>
        </w:rPr>
      </w:pPr>
      <w:r w:rsidRPr="00FE70EE">
        <w:rPr>
          <w:rFonts w:ascii="標楷體" w:eastAsia="標楷體" w:hAnsi="標楷體" w:cs="新細明體" w:hint="eastAsia"/>
          <w:b/>
          <w:bCs/>
          <w:color w:val="7030A0"/>
          <w:kern w:val="0"/>
          <w:sz w:val="26"/>
          <w:szCs w:val="26"/>
        </w:rPr>
        <w:t>2. 堅果</w:t>
      </w:r>
    </w:p>
    <w:p w14:paraId="49A22C06" w14:textId="77777777" w:rsidR="00FE70EE" w:rsidRPr="00FE70EE" w:rsidRDefault="00FE70EE" w:rsidP="00FE70EE">
      <w:pPr>
        <w:widowControl/>
        <w:numPr>
          <w:ilvl w:val="0"/>
          <w:numId w:val="2"/>
        </w:numPr>
        <w:shd w:val="clear" w:color="auto" w:fill="FFFFFF"/>
        <w:rPr>
          <w:rFonts w:ascii="標楷體" w:eastAsia="標楷體" w:hAnsi="標楷體" w:cs="Poppins" w:hint="eastAsia"/>
          <w:color w:val="7030A0"/>
          <w:kern w:val="0"/>
          <w:sz w:val="26"/>
          <w:szCs w:val="26"/>
        </w:rPr>
      </w:pPr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杏仁、核桃含豐富單元不飽和脂肪酸與植物固醇，能降低 LDL、提升 HDL。</w:t>
      </w:r>
    </w:p>
    <w:p w14:paraId="6D7FB7F9" w14:textId="77777777" w:rsidR="00FE70EE" w:rsidRPr="00FE70EE" w:rsidRDefault="00FE70EE" w:rsidP="00FE70EE">
      <w:pPr>
        <w:widowControl/>
        <w:numPr>
          <w:ilvl w:val="0"/>
          <w:numId w:val="2"/>
        </w:numPr>
        <w:shd w:val="clear" w:color="auto" w:fill="FFFFFF"/>
        <w:rPr>
          <w:rFonts w:ascii="標楷體" w:eastAsia="標楷體" w:hAnsi="標楷體" w:cs="Poppins"/>
          <w:color w:val="7030A0"/>
          <w:kern w:val="0"/>
          <w:sz w:val="26"/>
          <w:szCs w:val="26"/>
        </w:rPr>
      </w:pPr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每日 20</w:t>
      </w:r>
      <w:proofErr w:type="gramStart"/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–</w:t>
      </w:r>
      <w:proofErr w:type="gramEnd"/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30 克即可，作為零食或加入沙拉、燕麥中。</w:t>
      </w:r>
    </w:p>
    <w:p w14:paraId="57C1BB79" w14:textId="77777777" w:rsidR="00FE70EE" w:rsidRPr="00FE70EE" w:rsidRDefault="00FE70EE" w:rsidP="00FE70EE">
      <w:pPr>
        <w:widowControl/>
        <w:shd w:val="clear" w:color="auto" w:fill="FFFFFF"/>
        <w:outlineLvl w:val="2"/>
        <w:rPr>
          <w:rFonts w:ascii="標楷體" w:eastAsia="標楷體" w:hAnsi="標楷體" w:cs="新細明體"/>
          <w:b/>
          <w:bCs/>
          <w:color w:val="7030A0"/>
          <w:kern w:val="0"/>
          <w:sz w:val="26"/>
          <w:szCs w:val="26"/>
        </w:rPr>
      </w:pPr>
      <w:r w:rsidRPr="00FE70EE">
        <w:rPr>
          <w:rFonts w:ascii="標楷體" w:eastAsia="標楷體" w:hAnsi="標楷體" w:cs="新細明體" w:hint="eastAsia"/>
          <w:b/>
          <w:bCs/>
          <w:color w:val="7030A0"/>
          <w:kern w:val="0"/>
          <w:sz w:val="26"/>
          <w:szCs w:val="26"/>
        </w:rPr>
        <w:t>3. 豆類</w:t>
      </w:r>
    </w:p>
    <w:p w14:paraId="3E420013" w14:textId="77777777" w:rsidR="00FE70EE" w:rsidRPr="00FE70EE" w:rsidRDefault="00FE70EE" w:rsidP="00FE70EE">
      <w:pPr>
        <w:widowControl/>
        <w:numPr>
          <w:ilvl w:val="0"/>
          <w:numId w:val="3"/>
        </w:numPr>
        <w:shd w:val="clear" w:color="auto" w:fill="FFFFFF"/>
        <w:rPr>
          <w:rFonts w:ascii="標楷體" w:eastAsia="標楷體" w:hAnsi="標楷體" w:cs="Poppins" w:hint="eastAsia"/>
          <w:color w:val="7030A0"/>
          <w:kern w:val="0"/>
          <w:sz w:val="26"/>
          <w:szCs w:val="26"/>
        </w:rPr>
      </w:pPr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黃豆、黑豆含植物固醇、膳食纖維與優質蛋白，對降低 LDL 有幫助。</w:t>
      </w:r>
    </w:p>
    <w:p w14:paraId="0509C10E" w14:textId="77777777" w:rsidR="00FE70EE" w:rsidRPr="00FE70EE" w:rsidRDefault="00FE70EE" w:rsidP="00FE70EE">
      <w:pPr>
        <w:widowControl/>
        <w:numPr>
          <w:ilvl w:val="0"/>
          <w:numId w:val="3"/>
        </w:numPr>
        <w:shd w:val="clear" w:color="auto" w:fill="FFFFFF"/>
        <w:rPr>
          <w:rFonts w:ascii="標楷體" w:eastAsia="標楷體" w:hAnsi="標楷體" w:cs="Poppins"/>
          <w:color w:val="7030A0"/>
          <w:kern w:val="0"/>
          <w:sz w:val="26"/>
          <w:szCs w:val="26"/>
        </w:rPr>
      </w:pPr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可製作豆漿、豆腐、毛豆或</w:t>
      </w:r>
      <w:proofErr w:type="gramStart"/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加入湯品</w:t>
      </w:r>
      <w:proofErr w:type="gramEnd"/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。</w:t>
      </w:r>
    </w:p>
    <w:p w14:paraId="623FFBFE" w14:textId="77777777" w:rsidR="00FE70EE" w:rsidRPr="00FE70EE" w:rsidRDefault="00FE70EE" w:rsidP="00FE70EE">
      <w:pPr>
        <w:widowControl/>
        <w:shd w:val="clear" w:color="auto" w:fill="FFFFFF"/>
        <w:outlineLvl w:val="2"/>
        <w:rPr>
          <w:rFonts w:ascii="標楷體" w:eastAsia="標楷體" w:hAnsi="標楷體" w:cs="新細明體"/>
          <w:b/>
          <w:bCs/>
          <w:color w:val="7030A0"/>
          <w:kern w:val="0"/>
          <w:sz w:val="26"/>
          <w:szCs w:val="26"/>
        </w:rPr>
      </w:pPr>
      <w:r w:rsidRPr="00FE70EE">
        <w:rPr>
          <w:rFonts w:ascii="標楷體" w:eastAsia="標楷體" w:hAnsi="標楷體" w:cs="新細明體" w:hint="eastAsia"/>
          <w:b/>
          <w:bCs/>
          <w:color w:val="7030A0"/>
          <w:kern w:val="0"/>
          <w:sz w:val="26"/>
          <w:szCs w:val="26"/>
        </w:rPr>
        <w:t>4. 魚類</w:t>
      </w:r>
    </w:p>
    <w:p w14:paraId="4BB32B2B" w14:textId="77777777" w:rsidR="00FE70EE" w:rsidRPr="00FE70EE" w:rsidRDefault="00FE70EE" w:rsidP="00FE70EE">
      <w:pPr>
        <w:widowControl/>
        <w:numPr>
          <w:ilvl w:val="0"/>
          <w:numId w:val="4"/>
        </w:numPr>
        <w:shd w:val="clear" w:color="auto" w:fill="FFFFFF"/>
        <w:rPr>
          <w:rFonts w:ascii="標楷體" w:eastAsia="標楷體" w:hAnsi="標楷體" w:cs="Poppins" w:hint="eastAsia"/>
          <w:color w:val="7030A0"/>
          <w:kern w:val="0"/>
          <w:sz w:val="26"/>
          <w:szCs w:val="26"/>
        </w:rPr>
      </w:pPr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深海魚如三</w:t>
      </w:r>
      <w:proofErr w:type="gramStart"/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文魚</w:t>
      </w:r>
      <w:proofErr w:type="gramEnd"/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、沙丁魚、鮪魚含 Omega-3 脂肪酸，能降低甘油三酯、保護心血管。</w:t>
      </w:r>
    </w:p>
    <w:p w14:paraId="338C000A" w14:textId="77777777" w:rsidR="00FE70EE" w:rsidRPr="00FE70EE" w:rsidRDefault="00FE70EE" w:rsidP="00FE70EE">
      <w:pPr>
        <w:widowControl/>
        <w:numPr>
          <w:ilvl w:val="0"/>
          <w:numId w:val="4"/>
        </w:numPr>
        <w:shd w:val="clear" w:color="auto" w:fill="FFFFFF"/>
        <w:rPr>
          <w:rFonts w:ascii="標楷體" w:eastAsia="標楷體" w:hAnsi="標楷體" w:cs="Poppins"/>
          <w:color w:val="7030A0"/>
          <w:kern w:val="0"/>
          <w:sz w:val="26"/>
          <w:szCs w:val="26"/>
        </w:rPr>
      </w:pPr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每週 2</w:t>
      </w:r>
      <w:proofErr w:type="gramStart"/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–</w:t>
      </w:r>
      <w:proofErr w:type="gramEnd"/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3 次，每次 100</w:t>
      </w:r>
      <w:proofErr w:type="gramStart"/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–</w:t>
      </w:r>
      <w:proofErr w:type="gramEnd"/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150 克，烹調以清蒸、烤或涼拌為佳。</w:t>
      </w:r>
    </w:p>
    <w:p w14:paraId="1CEA5D4C" w14:textId="77777777" w:rsidR="00FE70EE" w:rsidRPr="00FE70EE" w:rsidRDefault="00FE70EE" w:rsidP="00FE70EE">
      <w:pPr>
        <w:widowControl/>
        <w:shd w:val="clear" w:color="auto" w:fill="FFFFFF"/>
        <w:outlineLvl w:val="2"/>
        <w:rPr>
          <w:rFonts w:ascii="標楷體" w:eastAsia="標楷體" w:hAnsi="標楷體" w:cs="新細明體"/>
          <w:b/>
          <w:bCs/>
          <w:color w:val="7030A0"/>
          <w:kern w:val="0"/>
          <w:sz w:val="26"/>
          <w:szCs w:val="26"/>
        </w:rPr>
      </w:pPr>
      <w:r w:rsidRPr="00FE70EE">
        <w:rPr>
          <w:rFonts w:ascii="標楷體" w:eastAsia="標楷體" w:hAnsi="標楷體" w:cs="新細明體" w:hint="eastAsia"/>
          <w:b/>
          <w:bCs/>
          <w:color w:val="7030A0"/>
          <w:kern w:val="0"/>
          <w:sz w:val="26"/>
          <w:szCs w:val="26"/>
        </w:rPr>
        <w:t>5. 蘋果與柑橘類水果</w:t>
      </w:r>
    </w:p>
    <w:p w14:paraId="6609E208" w14:textId="77777777" w:rsidR="00FE70EE" w:rsidRPr="00FE70EE" w:rsidRDefault="00FE70EE" w:rsidP="00FE70EE">
      <w:pPr>
        <w:widowControl/>
        <w:numPr>
          <w:ilvl w:val="0"/>
          <w:numId w:val="5"/>
        </w:numPr>
        <w:shd w:val="clear" w:color="auto" w:fill="FFFFFF"/>
        <w:rPr>
          <w:rFonts w:ascii="標楷體" w:eastAsia="標楷體" w:hAnsi="標楷體" w:cs="Poppins" w:hint="eastAsia"/>
          <w:color w:val="7030A0"/>
          <w:kern w:val="0"/>
          <w:sz w:val="26"/>
          <w:szCs w:val="26"/>
        </w:rPr>
      </w:pPr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含果膠、維生素 C 及多</w:t>
      </w:r>
      <w:proofErr w:type="gramStart"/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酚</w:t>
      </w:r>
      <w:proofErr w:type="gramEnd"/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抗氧化物，能幫助膽固醇代謝並減少氧化 LDL。</w:t>
      </w:r>
    </w:p>
    <w:p w14:paraId="24313A4E" w14:textId="77777777" w:rsidR="00FE70EE" w:rsidRPr="00FE70EE" w:rsidRDefault="00FE70EE" w:rsidP="00FE70EE">
      <w:pPr>
        <w:widowControl/>
        <w:numPr>
          <w:ilvl w:val="0"/>
          <w:numId w:val="5"/>
        </w:numPr>
        <w:shd w:val="clear" w:color="auto" w:fill="FFFFFF"/>
        <w:rPr>
          <w:rFonts w:ascii="標楷體" w:eastAsia="標楷體" w:hAnsi="標楷體" w:cs="Poppins"/>
          <w:color w:val="7030A0"/>
          <w:kern w:val="0"/>
          <w:sz w:val="26"/>
          <w:szCs w:val="26"/>
        </w:rPr>
      </w:pPr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可作為零食或加入沙拉、水果杯。</w:t>
      </w:r>
    </w:p>
    <w:p w14:paraId="0F967D4F" w14:textId="77777777" w:rsidR="00FE70EE" w:rsidRPr="00FE70EE" w:rsidRDefault="00FE70EE" w:rsidP="00FE70EE">
      <w:pPr>
        <w:widowControl/>
        <w:shd w:val="clear" w:color="auto" w:fill="FFFFFF"/>
        <w:outlineLvl w:val="2"/>
        <w:rPr>
          <w:rFonts w:ascii="標楷體" w:eastAsia="標楷體" w:hAnsi="標楷體" w:cs="新細明體"/>
          <w:b/>
          <w:bCs/>
          <w:color w:val="7030A0"/>
          <w:kern w:val="0"/>
          <w:sz w:val="26"/>
          <w:szCs w:val="26"/>
        </w:rPr>
      </w:pPr>
      <w:r w:rsidRPr="00FE70EE">
        <w:rPr>
          <w:rFonts w:ascii="標楷體" w:eastAsia="標楷體" w:hAnsi="標楷體" w:cs="新細明體" w:hint="eastAsia"/>
          <w:b/>
          <w:bCs/>
          <w:color w:val="7030A0"/>
          <w:kern w:val="0"/>
          <w:sz w:val="26"/>
          <w:szCs w:val="26"/>
        </w:rPr>
        <w:t>6. 橄欖油</w:t>
      </w:r>
    </w:p>
    <w:p w14:paraId="1B51F14E" w14:textId="77777777" w:rsidR="00FE70EE" w:rsidRPr="00FE70EE" w:rsidRDefault="00FE70EE" w:rsidP="00FE70EE">
      <w:pPr>
        <w:widowControl/>
        <w:numPr>
          <w:ilvl w:val="0"/>
          <w:numId w:val="6"/>
        </w:numPr>
        <w:shd w:val="clear" w:color="auto" w:fill="FFFFFF"/>
        <w:rPr>
          <w:rFonts w:ascii="標楷體" w:eastAsia="標楷體" w:hAnsi="標楷體" w:cs="Poppins" w:hint="eastAsia"/>
          <w:color w:val="7030A0"/>
          <w:kern w:val="0"/>
          <w:sz w:val="26"/>
          <w:szCs w:val="26"/>
        </w:rPr>
      </w:pPr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富含單元不飽和脂肪酸，有助降低 LDL 並提升 HDL。</w:t>
      </w:r>
    </w:p>
    <w:p w14:paraId="31A2FA41" w14:textId="77777777" w:rsidR="00FE70EE" w:rsidRPr="00FE70EE" w:rsidRDefault="00FE70EE" w:rsidP="00FE70EE">
      <w:pPr>
        <w:widowControl/>
        <w:numPr>
          <w:ilvl w:val="0"/>
          <w:numId w:val="6"/>
        </w:numPr>
        <w:shd w:val="clear" w:color="auto" w:fill="FFFFFF"/>
        <w:rPr>
          <w:rFonts w:ascii="標楷體" w:eastAsia="標楷體" w:hAnsi="標楷體" w:cs="Poppins"/>
          <w:color w:val="7030A0"/>
          <w:kern w:val="0"/>
          <w:sz w:val="26"/>
          <w:szCs w:val="26"/>
        </w:rPr>
      </w:pPr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適合做沙拉、</w:t>
      </w:r>
      <w:proofErr w:type="gramStart"/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拌菜或</w:t>
      </w:r>
      <w:proofErr w:type="gramEnd"/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低溫烹調，不建議高溫油炸。</w:t>
      </w:r>
    </w:p>
    <w:p w14:paraId="54675CF0" w14:textId="77777777" w:rsidR="00FE70EE" w:rsidRPr="00FE70EE" w:rsidRDefault="00FE70EE" w:rsidP="00FE70EE">
      <w:pPr>
        <w:widowControl/>
        <w:shd w:val="clear" w:color="auto" w:fill="FFFFFF"/>
        <w:outlineLvl w:val="2"/>
        <w:rPr>
          <w:rFonts w:ascii="標楷體" w:eastAsia="標楷體" w:hAnsi="標楷體" w:cs="新細明體"/>
          <w:b/>
          <w:bCs/>
          <w:color w:val="7030A0"/>
          <w:kern w:val="0"/>
          <w:sz w:val="26"/>
          <w:szCs w:val="26"/>
        </w:rPr>
      </w:pPr>
      <w:r w:rsidRPr="00FE70EE">
        <w:rPr>
          <w:rFonts w:ascii="標楷體" w:eastAsia="標楷體" w:hAnsi="標楷體" w:cs="新細明體" w:hint="eastAsia"/>
          <w:b/>
          <w:bCs/>
          <w:color w:val="7030A0"/>
          <w:kern w:val="0"/>
          <w:sz w:val="26"/>
          <w:szCs w:val="26"/>
        </w:rPr>
        <w:t>7. 大蒜</w:t>
      </w:r>
    </w:p>
    <w:p w14:paraId="1C654E6A" w14:textId="77777777" w:rsidR="00FE70EE" w:rsidRPr="00FE70EE" w:rsidRDefault="00FE70EE" w:rsidP="00FE70EE">
      <w:pPr>
        <w:widowControl/>
        <w:numPr>
          <w:ilvl w:val="0"/>
          <w:numId w:val="7"/>
        </w:numPr>
        <w:shd w:val="clear" w:color="auto" w:fill="FFFFFF"/>
        <w:rPr>
          <w:rFonts w:ascii="標楷體" w:eastAsia="標楷體" w:hAnsi="標楷體" w:cs="Poppins" w:hint="eastAsia"/>
          <w:color w:val="7030A0"/>
          <w:kern w:val="0"/>
          <w:sz w:val="26"/>
          <w:szCs w:val="26"/>
        </w:rPr>
      </w:pPr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研究顯示大蒜中的硫化物可輕微降低 LDL，並改善血管彈性。</w:t>
      </w:r>
    </w:p>
    <w:p w14:paraId="757DE935" w14:textId="77777777" w:rsidR="00FE70EE" w:rsidRPr="00FE70EE" w:rsidRDefault="00FE70EE" w:rsidP="00FE70EE">
      <w:pPr>
        <w:widowControl/>
        <w:numPr>
          <w:ilvl w:val="0"/>
          <w:numId w:val="7"/>
        </w:numPr>
        <w:shd w:val="clear" w:color="auto" w:fill="FFFFFF"/>
        <w:rPr>
          <w:rFonts w:ascii="標楷體" w:eastAsia="標楷體" w:hAnsi="標楷體" w:cs="Poppins"/>
          <w:color w:val="7030A0"/>
          <w:kern w:val="0"/>
          <w:sz w:val="26"/>
          <w:szCs w:val="26"/>
        </w:rPr>
      </w:pPr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可加入炒菜、</w:t>
      </w:r>
      <w:proofErr w:type="gramStart"/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湯品或醬</w:t>
      </w:r>
      <w:proofErr w:type="gramEnd"/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料中，但過量</w:t>
      </w:r>
      <w:proofErr w:type="gramStart"/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生吃需注意</w:t>
      </w:r>
      <w:proofErr w:type="gramEnd"/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腸胃刺激。</w:t>
      </w:r>
    </w:p>
    <w:p w14:paraId="7A689900" w14:textId="77777777" w:rsidR="00FE70EE" w:rsidRPr="00FE70EE" w:rsidRDefault="00FE70EE" w:rsidP="00FE70EE">
      <w:pPr>
        <w:widowControl/>
        <w:shd w:val="clear" w:color="auto" w:fill="FFFFFF"/>
        <w:outlineLvl w:val="2"/>
        <w:rPr>
          <w:rFonts w:ascii="標楷體" w:eastAsia="標楷體" w:hAnsi="標楷體" w:cs="新細明體"/>
          <w:b/>
          <w:bCs/>
          <w:color w:val="7030A0"/>
          <w:kern w:val="0"/>
          <w:sz w:val="26"/>
          <w:szCs w:val="26"/>
        </w:rPr>
      </w:pPr>
      <w:r w:rsidRPr="00FE70EE">
        <w:rPr>
          <w:rFonts w:ascii="標楷體" w:eastAsia="標楷體" w:hAnsi="標楷體" w:cs="新細明體" w:hint="eastAsia"/>
          <w:b/>
          <w:bCs/>
          <w:color w:val="7030A0"/>
          <w:kern w:val="0"/>
          <w:sz w:val="26"/>
          <w:szCs w:val="26"/>
        </w:rPr>
        <w:t>8. 綠葉蔬菜</w:t>
      </w:r>
    </w:p>
    <w:p w14:paraId="19C293DB" w14:textId="77777777" w:rsidR="00FE70EE" w:rsidRPr="00FE70EE" w:rsidRDefault="00FE70EE" w:rsidP="00FE70EE">
      <w:pPr>
        <w:widowControl/>
        <w:numPr>
          <w:ilvl w:val="0"/>
          <w:numId w:val="8"/>
        </w:numPr>
        <w:shd w:val="clear" w:color="auto" w:fill="FFFFFF"/>
        <w:rPr>
          <w:rFonts w:ascii="標楷體" w:eastAsia="標楷體" w:hAnsi="標楷體" w:cs="Poppins" w:hint="eastAsia"/>
          <w:color w:val="7030A0"/>
          <w:kern w:val="0"/>
          <w:sz w:val="26"/>
          <w:szCs w:val="26"/>
        </w:rPr>
      </w:pPr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菠菜、羽衣甘藍、</w:t>
      </w:r>
      <w:proofErr w:type="gramStart"/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萵苣等富含</w:t>
      </w:r>
      <w:proofErr w:type="gramEnd"/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膳食纖維、維生素與抗氧化物，有助於膽固醇排泄與心血管保護。</w:t>
      </w:r>
    </w:p>
    <w:p w14:paraId="58AEFFF7" w14:textId="77777777" w:rsidR="00FE70EE" w:rsidRPr="00FE70EE" w:rsidRDefault="00FE70EE" w:rsidP="00FE70EE">
      <w:pPr>
        <w:widowControl/>
        <w:numPr>
          <w:ilvl w:val="0"/>
          <w:numId w:val="8"/>
        </w:numPr>
        <w:shd w:val="clear" w:color="auto" w:fill="FFFFFF"/>
        <w:rPr>
          <w:rFonts w:ascii="標楷體" w:eastAsia="標楷體" w:hAnsi="標楷體" w:cs="Poppins"/>
          <w:color w:val="7030A0"/>
          <w:kern w:val="0"/>
          <w:sz w:val="26"/>
          <w:szCs w:val="26"/>
        </w:rPr>
      </w:pPr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建議每餐搭配蔬菜，可炒、涼拌或做蔬菜汁。</w:t>
      </w:r>
    </w:p>
    <w:p w14:paraId="4C9E848A" w14:textId="77777777" w:rsidR="00FE70EE" w:rsidRPr="00FE70EE" w:rsidRDefault="00FE70EE" w:rsidP="00FE70EE">
      <w:pPr>
        <w:widowControl/>
        <w:shd w:val="clear" w:color="auto" w:fill="FFFFFF"/>
        <w:outlineLvl w:val="2"/>
        <w:rPr>
          <w:rFonts w:ascii="標楷體" w:eastAsia="標楷體" w:hAnsi="標楷體" w:cs="新細明體"/>
          <w:b/>
          <w:bCs/>
          <w:color w:val="7030A0"/>
          <w:kern w:val="0"/>
          <w:sz w:val="26"/>
          <w:szCs w:val="26"/>
        </w:rPr>
      </w:pPr>
      <w:r w:rsidRPr="00FE70EE">
        <w:rPr>
          <w:rFonts w:ascii="標楷體" w:eastAsia="標楷體" w:hAnsi="標楷體" w:cs="新細明體" w:hint="eastAsia"/>
          <w:b/>
          <w:bCs/>
          <w:color w:val="7030A0"/>
          <w:kern w:val="0"/>
          <w:sz w:val="26"/>
          <w:szCs w:val="26"/>
        </w:rPr>
        <w:t xml:space="preserve">9. </w:t>
      </w:r>
      <w:proofErr w:type="gramStart"/>
      <w:r w:rsidRPr="00FE70EE">
        <w:rPr>
          <w:rFonts w:ascii="標楷體" w:eastAsia="標楷體" w:hAnsi="標楷體" w:cs="新細明體" w:hint="eastAsia"/>
          <w:b/>
          <w:bCs/>
          <w:color w:val="7030A0"/>
          <w:kern w:val="0"/>
          <w:sz w:val="26"/>
          <w:szCs w:val="26"/>
        </w:rPr>
        <w:t>亞麻籽與奇</w:t>
      </w:r>
      <w:proofErr w:type="gramEnd"/>
      <w:r w:rsidRPr="00FE70EE">
        <w:rPr>
          <w:rFonts w:ascii="標楷體" w:eastAsia="標楷體" w:hAnsi="標楷體" w:cs="新細明體" w:hint="eastAsia"/>
          <w:b/>
          <w:bCs/>
          <w:color w:val="7030A0"/>
          <w:kern w:val="0"/>
          <w:sz w:val="26"/>
          <w:szCs w:val="26"/>
        </w:rPr>
        <w:t>亞籽</w:t>
      </w:r>
    </w:p>
    <w:p w14:paraId="784F8BDB" w14:textId="77777777" w:rsidR="00FE70EE" w:rsidRPr="00FE70EE" w:rsidRDefault="00FE70EE" w:rsidP="00FE70EE">
      <w:pPr>
        <w:widowControl/>
        <w:numPr>
          <w:ilvl w:val="0"/>
          <w:numId w:val="9"/>
        </w:numPr>
        <w:shd w:val="clear" w:color="auto" w:fill="FFFFFF"/>
        <w:rPr>
          <w:rFonts w:ascii="標楷體" w:eastAsia="標楷體" w:hAnsi="標楷體" w:cs="Poppins" w:hint="eastAsia"/>
          <w:color w:val="7030A0"/>
          <w:kern w:val="0"/>
          <w:sz w:val="26"/>
          <w:szCs w:val="26"/>
        </w:rPr>
      </w:pPr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含 α-亞麻酸（植物性 Omega-3）與可溶性纖維，可降低 LDL 並改善血脂。</w:t>
      </w:r>
    </w:p>
    <w:p w14:paraId="1EB535B7" w14:textId="3A1A5805" w:rsidR="00FE70EE" w:rsidRPr="00461CEF" w:rsidRDefault="00FE70EE" w:rsidP="00FE70EE">
      <w:pPr>
        <w:widowControl/>
        <w:numPr>
          <w:ilvl w:val="0"/>
          <w:numId w:val="9"/>
        </w:numPr>
        <w:shd w:val="clear" w:color="auto" w:fill="FFFFFF"/>
        <w:rPr>
          <w:rFonts w:ascii="標楷體" w:eastAsia="標楷體" w:hAnsi="標楷體" w:cs="Poppins"/>
          <w:color w:val="7030A0"/>
          <w:kern w:val="0"/>
          <w:sz w:val="26"/>
          <w:szCs w:val="26"/>
        </w:rPr>
      </w:pPr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可加入果昔、燕麥粥、</w:t>
      </w:r>
      <w:proofErr w:type="gramStart"/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沙拉或優格</w:t>
      </w:r>
      <w:proofErr w:type="gramEnd"/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中，每天 1</w:t>
      </w:r>
      <w:proofErr w:type="gramStart"/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–</w:t>
      </w:r>
      <w:proofErr w:type="gramEnd"/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2 湯匙即可。</w:t>
      </w:r>
    </w:p>
    <w:p w14:paraId="1FAF8080" w14:textId="2AE16952" w:rsidR="00FE70EE" w:rsidRPr="00461CEF" w:rsidRDefault="00FE70EE" w:rsidP="00FE70EE">
      <w:pPr>
        <w:widowControl/>
        <w:shd w:val="clear" w:color="auto" w:fill="FFFFFF"/>
        <w:rPr>
          <w:rFonts w:ascii="標楷體" w:eastAsia="標楷體" w:hAnsi="標楷體" w:cs="Poppins"/>
          <w:color w:val="7030A0"/>
          <w:kern w:val="0"/>
          <w:sz w:val="26"/>
          <w:szCs w:val="26"/>
        </w:rPr>
      </w:pPr>
    </w:p>
    <w:p w14:paraId="249238D2" w14:textId="77777777" w:rsidR="00FE70EE" w:rsidRPr="00FE70EE" w:rsidRDefault="00FE70EE" w:rsidP="00FE70EE">
      <w:pPr>
        <w:widowControl/>
        <w:shd w:val="clear" w:color="auto" w:fill="FFFFFF"/>
        <w:rPr>
          <w:rFonts w:ascii="標楷體" w:eastAsia="標楷體" w:hAnsi="標楷體" w:cs="Poppins" w:hint="eastAsia"/>
          <w:color w:val="7030A0"/>
          <w:kern w:val="0"/>
          <w:sz w:val="26"/>
          <w:szCs w:val="26"/>
        </w:rPr>
      </w:pPr>
    </w:p>
    <w:p w14:paraId="28DA695A" w14:textId="77777777" w:rsidR="00FE70EE" w:rsidRPr="00FE70EE" w:rsidRDefault="00FE70EE" w:rsidP="00FE70EE">
      <w:pPr>
        <w:widowControl/>
        <w:shd w:val="clear" w:color="auto" w:fill="FFFFFF"/>
        <w:outlineLvl w:val="2"/>
        <w:rPr>
          <w:rFonts w:ascii="標楷體" w:eastAsia="標楷體" w:hAnsi="標楷體" w:cs="新細明體"/>
          <w:b/>
          <w:bCs/>
          <w:color w:val="7030A0"/>
          <w:kern w:val="0"/>
          <w:sz w:val="26"/>
          <w:szCs w:val="26"/>
        </w:rPr>
      </w:pPr>
      <w:r w:rsidRPr="00FE70EE">
        <w:rPr>
          <w:rFonts w:ascii="標楷體" w:eastAsia="標楷體" w:hAnsi="標楷體" w:cs="新細明體" w:hint="eastAsia"/>
          <w:b/>
          <w:bCs/>
          <w:color w:val="7030A0"/>
          <w:kern w:val="0"/>
          <w:sz w:val="26"/>
          <w:szCs w:val="26"/>
        </w:rPr>
        <w:lastRenderedPageBreak/>
        <w:t>10. 植物固醇強化食品</w:t>
      </w:r>
    </w:p>
    <w:p w14:paraId="5E085A31" w14:textId="77777777" w:rsidR="00FE70EE" w:rsidRPr="00FE70EE" w:rsidRDefault="00FE70EE" w:rsidP="00FE70EE">
      <w:pPr>
        <w:widowControl/>
        <w:numPr>
          <w:ilvl w:val="0"/>
          <w:numId w:val="10"/>
        </w:numPr>
        <w:shd w:val="clear" w:color="auto" w:fill="FFFFFF"/>
        <w:rPr>
          <w:rFonts w:ascii="標楷體" w:eastAsia="標楷體" w:hAnsi="標楷體" w:cs="Poppins" w:hint="eastAsia"/>
          <w:color w:val="7030A0"/>
          <w:kern w:val="0"/>
          <w:sz w:val="26"/>
          <w:szCs w:val="26"/>
        </w:rPr>
      </w:pPr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如強化豆奶、強化麥片、植物油製品，含植物</w:t>
      </w:r>
      <w:proofErr w:type="gramStart"/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固醇能抑制</w:t>
      </w:r>
      <w:proofErr w:type="gramEnd"/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膽固醇腸道吸收。</w:t>
      </w:r>
    </w:p>
    <w:p w14:paraId="0178E1FF" w14:textId="77777777" w:rsidR="00FE70EE" w:rsidRPr="00FE70EE" w:rsidRDefault="00FE70EE" w:rsidP="00FE70EE">
      <w:pPr>
        <w:widowControl/>
        <w:numPr>
          <w:ilvl w:val="0"/>
          <w:numId w:val="10"/>
        </w:numPr>
        <w:shd w:val="clear" w:color="auto" w:fill="FFFFFF"/>
        <w:rPr>
          <w:rFonts w:ascii="標楷體" w:eastAsia="標楷體" w:hAnsi="標楷體" w:cs="Poppins"/>
          <w:color w:val="7030A0"/>
          <w:kern w:val="0"/>
          <w:sz w:val="26"/>
          <w:szCs w:val="26"/>
        </w:rPr>
      </w:pPr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適合早餐搭配燕麥或作為飲品替代牛奶。</w:t>
      </w:r>
    </w:p>
    <w:p w14:paraId="15829F19" w14:textId="77777777" w:rsidR="00FE70EE" w:rsidRPr="00FE70EE" w:rsidRDefault="00FE70EE" w:rsidP="00FE70EE">
      <w:pPr>
        <w:widowControl/>
        <w:rPr>
          <w:rFonts w:ascii="標楷體" w:eastAsia="標楷體" w:hAnsi="標楷體" w:cs="新細明體"/>
          <w:color w:val="7030A0"/>
          <w:kern w:val="0"/>
          <w:sz w:val="26"/>
          <w:szCs w:val="26"/>
        </w:rPr>
      </w:pPr>
      <w:r w:rsidRPr="00FE70EE">
        <w:rPr>
          <w:rFonts w:ascii="標楷體" w:eastAsia="標楷體" w:hAnsi="標楷體" w:cs="新細明體"/>
          <w:color w:val="7030A0"/>
          <w:kern w:val="0"/>
          <w:sz w:val="26"/>
          <w:szCs w:val="26"/>
        </w:rPr>
        <w:pict w14:anchorId="0F68892E">
          <v:rect id="_x0000_i1025" style="width:0;height:1.5pt" o:hralign="center" o:hrstd="t" o:hrnoshade="t" o:hr="t" fillcolor="#e1e8ed" stroked="f"/>
        </w:pict>
      </w:r>
    </w:p>
    <w:p w14:paraId="4F1E430C" w14:textId="77777777" w:rsidR="00FE70EE" w:rsidRPr="00FE70EE" w:rsidRDefault="00FE70EE" w:rsidP="00FE70EE">
      <w:pPr>
        <w:widowControl/>
        <w:shd w:val="clear" w:color="auto" w:fill="FFFFFF"/>
        <w:rPr>
          <w:rFonts w:ascii="標楷體" w:eastAsia="標楷體" w:hAnsi="標楷體" w:cs="Poppins"/>
          <w:color w:val="7030A0"/>
          <w:kern w:val="0"/>
          <w:sz w:val="26"/>
          <w:szCs w:val="26"/>
        </w:rPr>
      </w:pPr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總膽固醇過高會增加心血管疾病風險，但透過</w:t>
      </w:r>
      <w:r w:rsidRPr="00FE70EE">
        <w:rPr>
          <w:rFonts w:ascii="標楷體" w:eastAsia="標楷體" w:hAnsi="標楷體" w:cs="Poppins"/>
          <w:b/>
          <w:bCs/>
          <w:color w:val="7030A0"/>
          <w:kern w:val="0"/>
          <w:sz w:val="26"/>
          <w:szCs w:val="26"/>
        </w:rPr>
        <w:t>飲食控制、規律運動、維持健康體重與必要藥物治療</w:t>
      </w:r>
      <w:r w:rsidRPr="00FE70EE">
        <w:rPr>
          <w:rFonts w:ascii="標楷體" w:eastAsia="標楷體" w:hAnsi="標楷體" w:cs="Poppins"/>
          <w:color w:val="7030A0"/>
          <w:kern w:val="0"/>
          <w:sz w:val="26"/>
          <w:szCs w:val="26"/>
        </w:rPr>
        <w:t>，可以有效改善血脂。飲食方面，多攝取膳食纖維、Omega-3 脂肪酸與植物固醇食品，如燕麥、堅果、豆類、深海魚、蔬果與橄欖油，有助降低 LDL 並提升 HDL。定期檢查血脂，保持健康生活習慣，是控制膽固醇與保護心血管的最佳策略。</w:t>
      </w:r>
    </w:p>
    <w:p w14:paraId="15BC495B" w14:textId="3D3A9B0B" w:rsidR="00D53A0F" w:rsidRDefault="00D53A0F">
      <w:pPr>
        <w:rPr>
          <w:rFonts w:ascii="標楷體" w:eastAsia="標楷體" w:hAnsi="標楷體"/>
          <w:sz w:val="26"/>
          <w:szCs w:val="26"/>
        </w:rPr>
      </w:pPr>
    </w:p>
    <w:p w14:paraId="0C5AB9B5" w14:textId="0F931DE3" w:rsidR="00461CEF" w:rsidRDefault="00461CEF">
      <w:pPr>
        <w:rPr>
          <w:rFonts w:ascii="標楷體" w:eastAsia="標楷體" w:hAnsi="標楷體"/>
          <w:sz w:val="26"/>
          <w:szCs w:val="26"/>
        </w:rPr>
      </w:pPr>
    </w:p>
    <w:p w14:paraId="19EE4BBC" w14:textId="65DC1C99" w:rsidR="00461CEF" w:rsidRDefault="00461CEF">
      <w:pPr>
        <w:rPr>
          <w:rFonts w:ascii="標楷體" w:eastAsia="標楷體" w:hAnsi="標楷體"/>
          <w:sz w:val="26"/>
          <w:szCs w:val="26"/>
        </w:rPr>
      </w:pPr>
    </w:p>
    <w:p w14:paraId="4842075A" w14:textId="2820E582" w:rsidR="00461CEF" w:rsidRDefault="00461CEF">
      <w:pPr>
        <w:rPr>
          <w:rFonts w:ascii="標楷體" w:eastAsia="標楷體" w:hAnsi="標楷體"/>
          <w:sz w:val="26"/>
          <w:szCs w:val="26"/>
        </w:rPr>
      </w:pPr>
    </w:p>
    <w:p w14:paraId="11116F97" w14:textId="64F2B2A5" w:rsidR="00461CEF" w:rsidRDefault="00461CEF">
      <w:pPr>
        <w:rPr>
          <w:rFonts w:ascii="標楷體" w:eastAsia="標楷體" w:hAnsi="標楷體"/>
          <w:sz w:val="26"/>
          <w:szCs w:val="26"/>
        </w:rPr>
      </w:pPr>
    </w:p>
    <w:p w14:paraId="4DBC4606" w14:textId="4AD7251A" w:rsidR="00461CEF" w:rsidRDefault="00461CEF">
      <w:pPr>
        <w:rPr>
          <w:rFonts w:ascii="標楷體" w:eastAsia="標楷體" w:hAnsi="標楷體"/>
          <w:sz w:val="26"/>
          <w:szCs w:val="26"/>
        </w:rPr>
      </w:pPr>
    </w:p>
    <w:p w14:paraId="3AB736E1" w14:textId="21C126D0" w:rsidR="00461CEF" w:rsidRDefault="00461CEF">
      <w:pPr>
        <w:rPr>
          <w:rFonts w:ascii="標楷體" w:eastAsia="標楷體" w:hAnsi="標楷體"/>
          <w:sz w:val="26"/>
          <w:szCs w:val="26"/>
        </w:rPr>
      </w:pPr>
    </w:p>
    <w:p w14:paraId="09FAC192" w14:textId="73E0C6DE" w:rsidR="00461CEF" w:rsidRDefault="00461CEF">
      <w:pPr>
        <w:rPr>
          <w:rFonts w:ascii="標楷體" w:eastAsia="標楷體" w:hAnsi="標楷體"/>
          <w:sz w:val="26"/>
          <w:szCs w:val="26"/>
        </w:rPr>
      </w:pPr>
    </w:p>
    <w:p w14:paraId="113A21C5" w14:textId="7E2E446D" w:rsidR="00461CEF" w:rsidRDefault="00461CEF">
      <w:pPr>
        <w:rPr>
          <w:rFonts w:ascii="標楷體" w:eastAsia="標楷體" w:hAnsi="標楷體"/>
          <w:sz w:val="26"/>
          <w:szCs w:val="26"/>
        </w:rPr>
      </w:pPr>
    </w:p>
    <w:p w14:paraId="5003FCD6" w14:textId="440785AB" w:rsidR="00461CEF" w:rsidRDefault="00461CEF">
      <w:pPr>
        <w:rPr>
          <w:rFonts w:ascii="標楷體" w:eastAsia="標楷體" w:hAnsi="標楷體"/>
          <w:sz w:val="26"/>
          <w:szCs w:val="26"/>
        </w:rPr>
      </w:pPr>
    </w:p>
    <w:p w14:paraId="6F9FC87C" w14:textId="5FDB354E" w:rsidR="00461CEF" w:rsidRDefault="00461CEF">
      <w:pPr>
        <w:rPr>
          <w:rFonts w:ascii="標楷體" w:eastAsia="標楷體" w:hAnsi="標楷體"/>
          <w:sz w:val="26"/>
          <w:szCs w:val="26"/>
        </w:rPr>
      </w:pPr>
    </w:p>
    <w:p w14:paraId="7798DFB4" w14:textId="3ECAEB96" w:rsidR="00461CEF" w:rsidRDefault="00461CEF">
      <w:pPr>
        <w:rPr>
          <w:rFonts w:ascii="標楷體" w:eastAsia="標楷體" w:hAnsi="標楷體"/>
          <w:sz w:val="26"/>
          <w:szCs w:val="26"/>
        </w:rPr>
      </w:pPr>
    </w:p>
    <w:p w14:paraId="09BCA240" w14:textId="24A9330A" w:rsidR="00461CEF" w:rsidRDefault="00461CEF">
      <w:pPr>
        <w:rPr>
          <w:rFonts w:ascii="標楷體" w:eastAsia="標楷體" w:hAnsi="標楷體"/>
          <w:sz w:val="26"/>
          <w:szCs w:val="26"/>
        </w:rPr>
      </w:pPr>
    </w:p>
    <w:p w14:paraId="0A17CC8B" w14:textId="4E0EB607" w:rsidR="00461CEF" w:rsidRDefault="00461CEF">
      <w:pPr>
        <w:rPr>
          <w:rFonts w:ascii="標楷體" w:eastAsia="標楷體" w:hAnsi="標楷體"/>
          <w:sz w:val="26"/>
          <w:szCs w:val="26"/>
        </w:rPr>
      </w:pPr>
    </w:p>
    <w:p w14:paraId="256A19F7" w14:textId="7272D006" w:rsidR="00461CEF" w:rsidRDefault="00461CEF">
      <w:pPr>
        <w:rPr>
          <w:rFonts w:ascii="標楷體" w:eastAsia="標楷體" w:hAnsi="標楷體"/>
          <w:sz w:val="26"/>
          <w:szCs w:val="26"/>
        </w:rPr>
      </w:pPr>
    </w:p>
    <w:p w14:paraId="39A37855" w14:textId="4F4C1BFC" w:rsidR="00461CEF" w:rsidRDefault="00461CEF">
      <w:pPr>
        <w:rPr>
          <w:rFonts w:ascii="標楷體" w:eastAsia="標楷體" w:hAnsi="標楷體"/>
          <w:sz w:val="26"/>
          <w:szCs w:val="26"/>
        </w:rPr>
      </w:pPr>
    </w:p>
    <w:p w14:paraId="35DA7AD9" w14:textId="19A7AAAE" w:rsidR="00461CEF" w:rsidRDefault="00461CEF">
      <w:pPr>
        <w:rPr>
          <w:rFonts w:ascii="標楷體" w:eastAsia="標楷體" w:hAnsi="標楷體"/>
          <w:sz w:val="26"/>
          <w:szCs w:val="26"/>
        </w:rPr>
      </w:pPr>
    </w:p>
    <w:p w14:paraId="504B9280" w14:textId="7E4028AA" w:rsidR="00461CEF" w:rsidRDefault="00461CEF">
      <w:pPr>
        <w:rPr>
          <w:rFonts w:ascii="標楷體" w:eastAsia="標楷體" w:hAnsi="標楷體"/>
          <w:sz w:val="26"/>
          <w:szCs w:val="26"/>
        </w:rPr>
      </w:pPr>
    </w:p>
    <w:p w14:paraId="7E64FEBC" w14:textId="038D719B" w:rsidR="00461CEF" w:rsidRDefault="00461CEF">
      <w:pPr>
        <w:rPr>
          <w:rFonts w:ascii="標楷體" w:eastAsia="標楷體" w:hAnsi="標楷體"/>
          <w:sz w:val="26"/>
          <w:szCs w:val="26"/>
        </w:rPr>
      </w:pPr>
    </w:p>
    <w:p w14:paraId="644BEBCC" w14:textId="4FA1DC8E" w:rsidR="00461CEF" w:rsidRDefault="00461CEF">
      <w:pPr>
        <w:rPr>
          <w:rFonts w:ascii="標楷體" w:eastAsia="標楷體" w:hAnsi="標楷體"/>
          <w:sz w:val="26"/>
          <w:szCs w:val="26"/>
        </w:rPr>
      </w:pPr>
    </w:p>
    <w:p w14:paraId="0F971F90" w14:textId="33A280F9" w:rsidR="00461CEF" w:rsidRDefault="00461CEF">
      <w:pPr>
        <w:rPr>
          <w:rFonts w:ascii="標楷體" w:eastAsia="標楷體" w:hAnsi="標楷體"/>
          <w:sz w:val="26"/>
          <w:szCs w:val="26"/>
        </w:rPr>
      </w:pPr>
    </w:p>
    <w:p w14:paraId="7C3AA9FE" w14:textId="719877CC" w:rsidR="00461CEF" w:rsidRDefault="00461CEF">
      <w:pPr>
        <w:rPr>
          <w:rFonts w:ascii="標楷體" w:eastAsia="標楷體" w:hAnsi="標楷體"/>
          <w:sz w:val="26"/>
          <w:szCs w:val="26"/>
        </w:rPr>
      </w:pPr>
    </w:p>
    <w:p w14:paraId="0138B723" w14:textId="77D66E16" w:rsidR="00461CEF" w:rsidRDefault="00461CEF">
      <w:pPr>
        <w:rPr>
          <w:rFonts w:ascii="標楷體" w:eastAsia="標楷體" w:hAnsi="標楷體"/>
          <w:sz w:val="26"/>
          <w:szCs w:val="26"/>
        </w:rPr>
      </w:pPr>
    </w:p>
    <w:p w14:paraId="784A40EB" w14:textId="53A97793" w:rsidR="00461CEF" w:rsidRDefault="00461CEF">
      <w:pPr>
        <w:rPr>
          <w:rFonts w:ascii="標楷體" w:eastAsia="標楷體" w:hAnsi="標楷體"/>
          <w:sz w:val="26"/>
          <w:szCs w:val="26"/>
        </w:rPr>
      </w:pPr>
    </w:p>
    <w:p w14:paraId="0B16E3C1" w14:textId="5E6B36A1" w:rsidR="00461CEF" w:rsidRDefault="00461CEF" w:rsidP="00461CEF">
      <w:pPr>
        <w:widowControl/>
        <w:shd w:val="clear" w:color="auto" w:fill="FFFFFF"/>
        <w:outlineLvl w:val="1"/>
        <w:rPr>
          <w:rFonts w:ascii="標楷體" w:eastAsia="標楷體" w:hAnsi="標楷體"/>
          <w:sz w:val="26"/>
          <w:szCs w:val="26"/>
        </w:rPr>
      </w:pPr>
    </w:p>
    <w:p w14:paraId="521BAB82" w14:textId="0A8F7F15" w:rsidR="00461CEF" w:rsidRDefault="00461CEF" w:rsidP="00461CEF">
      <w:pPr>
        <w:widowControl/>
        <w:shd w:val="clear" w:color="auto" w:fill="FFFFFF"/>
        <w:outlineLvl w:val="1"/>
        <w:rPr>
          <w:rFonts w:ascii="標楷體" w:eastAsia="標楷體" w:hAnsi="標楷體"/>
          <w:sz w:val="26"/>
          <w:szCs w:val="26"/>
        </w:rPr>
      </w:pPr>
    </w:p>
    <w:p w14:paraId="3E0B0ED6" w14:textId="77777777" w:rsidR="00461CEF" w:rsidRDefault="00461CEF" w:rsidP="00461CEF">
      <w:pPr>
        <w:widowControl/>
        <w:shd w:val="clear" w:color="auto" w:fill="FFFFFF"/>
        <w:outlineLvl w:val="1"/>
        <w:rPr>
          <w:rFonts w:ascii="標楷體" w:eastAsia="標楷體" w:hAnsi="標楷體" w:hint="eastAsia"/>
          <w:sz w:val="26"/>
          <w:szCs w:val="26"/>
        </w:rPr>
      </w:pPr>
    </w:p>
    <w:p w14:paraId="7A95C31D" w14:textId="77777777" w:rsidR="00461CEF" w:rsidRDefault="00461CEF" w:rsidP="00461CEF">
      <w:pPr>
        <w:widowControl/>
        <w:shd w:val="clear" w:color="auto" w:fill="FFFFFF"/>
        <w:outlineLvl w:val="1"/>
        <w:rPr>
          <w:rFonts w:ascii="標楷體" w:eastAsia="標楷體" w:hAnsi="標楷體" w:hint="eastAsia"/>
          <w:sz w:val="26"/>
          <w:szCs w:val="26"/>
        </w:rPr>
      </w:pPr>
    </w:p>
    <w:p w14:paraId="08FA0AB0" w14:textId="0D15742F" w:rsidR="00461CEF" w:rsidRPr="00461CEF" w:rsidRDefault="00461CEF" w:rsidP="00461CEF">
      <w:pPr>
        <w:widowControl/>
        <w:shd w:val="clear" w:color="auto" w:fill="FFFFFF"/>
        <w:outlineLvl w:val="1"/>
        <w:rPr>
          <w:rFonts w:ascii="標楷體" w:eastAsia="標楷體" w:hAnsi="標楷體" w:cs="新細明體"/>
          <w:b/>
          <w:bCs/>
          <w:kern w:val="0"/>
          <w:sz w:val="26"/>
          <w:szCs w:val="26"/>
        </w:rPr>
      </w:pPr>
      <w:r w:rsidRPr="00461CEF">
        <w:rPr>
          <w:rFonts w:ascii="標楷體" w:eastAsia="標楷體" w:hAnsi="標楷體" w:cs="新細明體" w:hint="eastAsia"/>
          <w:b/>
          <w:bCs/>
          <w:kern w:val="0"/>
          <w:sz w:val="26"/>
          <w:szCs w:val="26"/>
        </w:rPr>
        <w:lastRenderedPageBreak/>
        <w:t>怎麼降低膽固醇？降膽固醇的5個方法</w:t>
      </w:r>
    </w:p>
    <w:p w14:paraId="7B78B124" w14:textId="77777777" w:rsidR="00461CEF" w:rsidRPr="00461CEF" w:rsidRDefault="00461CEF" w:rsidP="00461CEF">
      <w:pPr>
        <w:widowControl/>
        <w:shd w:val="clear" w:color="auto" w:fill="FFFFFF"/>
        <w:rPr>
          <w:rFonts w:ascii="標楷體" w:eastAsia="標楷體" w:hAnsi="標楷體" w:cs="Poppins" w:hint="eastAsia"/>
          <w:b/>
          <w:bCs/>
          <w:kern w:val="0"/>
          <w:sz w:val="26"/>
          <w:szCs w:val="26"/>
        </w:rPr>
      </w:pPr>
      <w:r w:rsidRPr="00461CEF">
        <w:rPr>
          <w:rFonts w:ascii="標楷體" w:eastAsia="標楷體" w:hAnsi="標楷體" w:cs="Poppins"/>
          <w:b/>
          <w:bCs/>
          <w:kern w:val="0"/>
          <w:sz w:val="26"/>
          <w:szCs w:val="26"/>
        </w:rPr>
        <w:t>膽固醇過高不一定要立刻依賴藥物，透過健康生活方式也能有效改善血脂。主要方法包括以下幾個面向：</w:t>
      </w:r>
    </w:p>
    <w:p w14:paraId="60309C8D" w14:textId="77777777" w:rsidR="00461CEF" w:rsidRPr="00461CEF" w:rsidRDefault="00461CEF" w:rsidP="00461CEF">
      <w:pPr>
        <w:widowControl/>
        <w:shd w:val="clear" w:color="auto" w:fill="FFFFFF"/>
        <w:outlineLvl w:val="2"/>
        <w:rPr>
          <w:rFonts w:ascii="標楷體" w:eastAsia="標楷體" w:hAnsi="標楷體" w:cs="新細明體"/>
          <w:b/>
          <w:bCs/>
          <w:kern w:val="0"/>
          <w:sz w:val="26"/>
          <w:szCs w:val="26"/>
        </w:rPr>
      </w:pPr>
      <w:r w:rsidRPr="00461CEF">
        <w:rPr>
          <w:rFonts w:ascii="標楷體" w:eastAsia="標楷體" w:hAnsi="標楷體" w:cs="新細明體" w:hint="eastAsia"/>
          <w:b/>
          <w:bCs/>
          <w:kern w:val="0"/>
          <w:sz w:val="26"/>
          <w:szCs w:val="26"/>
        </w:rPr>
        <w:t>1. 飲食控制</w:t>
      </w:r>
    </w:p>
    <w:p w14:paraId="43F2AB68" w14:textId="77777777" w:rsidR="00461CEF" w:rsidRPr="00461CEF" w:rsidRDefault="00461CEF" w:rsidP="00461CEF">
      <w:pPr>
        <w:widowControl/>
        <w:numPr>
          <w:ilvl w:val="0"/>
          <w:numId w:val="11"/>
        </w:numPr>
        <w:shd w:val="clear" w:color="auto" w:fill="FFFFFF"/>
        <w:rPr>
          <w:rFonts w:ascii="標楷體" w:eastAsia="標楷體" w:hAnsi="標楷體" w:cs="Poppins" w:hint="eastAsia"/>
          <w:b/>
          <w:bCs/>
          <w:kern w:val="0"/>
          <w:sz w:val="26"/>
          <w:szCs w:val="26"/>
        </w:rPr>
      </w:pPr>
      <w:r w:rsidRPr="00461CEF">
        <w:rPr>
          <w:rFonts w:ascii="標楷體" w:eastAsia="標楷體" w:hAnsi="標楷體" w:cs="Poppins"/>
          <w:b/>
          <w:bCs/>
          <w:kern w:val="0"/>
          <w:sz w:val="26"/>
          <w:szCs w:val="26"/>
        </w:rPr>
        <w:t>減少飽和脂肪與反式脂肪：飽和脂肪主要存在於紅肉、</w:t>
      </w:r>
      <w:proofErr w:type="gramStart"/>
      <w:r w:rsidRPr="00461CEF">
        <w:rPr>
          <w:rFonts w:ascii="標楷體" w:eastAsia="標楷體" w:hAnsi="標楷體" w:cs="Poppins"/>
          <w:b/>
          <w:bCs/>
          <w:kern w:val="0"/>
          <w:sz w:val="26"/>
          <w:szCs w:val="26"/>
        </w:rPr>
        <w:t>全脂乳製品</w:t>
      </w:r>
      <w:proofErr w:type="gramEnd"/>
      <w:r w:rsidRPr="00461CEF">
        <w:rPr>
          <w:rFonts w:ascii="標楷體" w:eastAsia="標楷體" w:hAnsi="標楷體" w:cs="Poppins"/>
          <w:b/>
          <w:bCs/>
          <w:kern w:val="0"/>
          <w:sz w:val="26"/>
          <w:szCs w:val="26"/>
        </w:rPr>
        <w:t>、奶油與蛋黃；反式脂肪則常見於油炸食品與加工點心。這些脂肪會增加血液中的低密度脂蛋白（LDL-C），提高心血管疾病風險。建議選擇</w:t>
      </w:r>
      <w:proofErr w:type="gramStart"/>
      <w:r w:rsidRPr="00461CEF">
        <w:rPr>
          <w:rFonts w:ascii="標楷體" w:eastAsia="標楷體" w:hAnsi="標楷體" w:cs="Poppins"/>
          <w:b/>
          <w:bCs/>
          <w:kern w:val="0"/>
          <w:sz w:val="26"/>
          <w:szCs w:val="26"/>
        </w:rPr>
        <w:t>去脂乳</w:t>
      </w:r>
      <w:proofErr w:type="gramEnd"/>
      <w:r w:rsidRPr="00461CEF">
        <w:rPr>
          <w:rFonts w:ascii="標楷體" w:eastAsia="標楷體" w:hAnsi="標楷體" w:cs="Poppins"/>
          <w:b/>
          <w:bCs/>
          <w:kern w:val="0"/>
          <w:sz w:val="26"/>
          <w:szCs w:val="26"/>
        </w:rPr>
        <w:t>製品、瘦肉或植物油替代。</w:t>
      </w:r>
    </w:p>
    <w:p w14:paraId="4FA69AFC" w14:textId="77777777" w:rsidR="00461CEF" w:rsidRPr="00461CEF" w:rsidRDefault="00461CEF" w:rsidP="00461CEF">
      <w:pPr>
        <w:widowControl/>
        <w:numPr>
          <w:ilvl w:val="0"/>
          <w:numId w:val="11"/>
        </w:numPr>
        <w:shd w:val="clear" w:color="auto" w:fill="FFFFFF"/>
        <w:rPr>
          <w:rFonts w:ascii="標楷體" w:eastAsia="標楷體" w:hAnsi="標楷體" w:cs="Poppins"/>
          <w:b/>
          <w:bCs/>
          <w:kern w:val="0"/>
          <w:sz w:val="26"/>
          <w:szCs w:val="26"/>
        </w:rPr>
      </w:pPr>
      <w:r w:rsidRPr="00461CEF">
        <w:rPr>
          <w:rFonts w:ascii="標楷體" w:eastAsia="標楷體" w:hAnsi="標楷體" w:cs="Poppins"/>
          <w:b/>
          <w:bCs/>
          <w:kern w:val="0"/>
          <w:sz w:val="26"/>
          <w:szCs w:val="26"/>
        </w:rPr>
        <w:t>增加膳食纖維攝取：特別是可溶性纖維，如燕麥、豆類、水果與蔬菜，能在腸道形成膠狀物質，幫助膽固醇排出體外，降低血液中的 LDL 水平。</w:t>
      </w:r>
    </w:p>
    <w:p w14:paraId="45948618" w14:textId="77777777" w:rsidR="00461CEF" w:rsidRPr="00461CEF" w:rsidRDefault="00461CEF" w:rsidP="00461CEF">
      <w:pPr>
        <w:widowControl/>
        <w:shd w:val="clear" w:color="auto" w:fill="FFFFFF"/>
        <w:outlineLvl w:val="2"/>
        <w:rPr>
          <w:rFonts w:ascii="標楷體" w:eastAsia="標楷體" w:hAnsi="標楷體" w:cs="新細明體"/>
          <w:b/>
          <w:bCs/>
          <w:kern w:val="0"/>
          <w:sz w:val="26"/>
          <w:szCs w:val="26"/>
        </w:rPr>
      </w:pPr>
      <w:r w:rsidRPr="00461CEF">
        <w:rPr>
          <w:rFonts w:ascii="標楷體" w:eastAsia="標楷體" w:hAnsi="標楷體" w:cs="新細明體" w:hint="eastAsia"/>
          <w:b/>
          <w:bCs/>
          <w:kern w:val="0"/>
          <w:sz w:val="26"/>
          <w:szCs w:val="26"/>
        </w:rPr>
        <w:t>2. 規律運動</w:t>
      </w:r>
    </w:p>
    <w:p w14:paraId="6DE92AAC" w14:textId="77777777" w:rsidR="00461CEF" w:rsidRPr="00461CEF" w:rsidRDefault="00461CEF" w:rsidP="00461CEF">
      <w:pPr>
        <w:widowControl/>
        <w:numPr>
          <w:ilvl w:val="0"/>
          <w:numId w:val="12"/>
        </w:numPr>
        <w:shd w:val="clear" w:color="auto" w:fill="FFFFFF"/>
        <w:rPr>
          <w:rFonts w:ascii="標楷體" w:eastAsia="標楷體" w:hAnsi="標楷體" w:cs="Poppins" w:hint="eastAsia"/>
          <w:b/>
          <w:bCs/>
          <w:kern w:val="0"/>
          <w:sz w:val="26"/>
          <w:szCs w:val="26"/>
        </w:rPr>
      </w:pPr>
      <w:r w:rsidRPr="00461CEF">
        <w:rPr>
          <w:rFonts w:ascii="標楷體" w:eastAsia="標楷體" w:hAnsi="標楷體" w:cs="Poppins"/>
          <w:b/>
          <w:bCs/>
          <w:kern w:val="0"/>
          <w:sz w:val="26"/>
          <w:szCs w:val="26"/>
        </w:rPr>
        <w:t>有氧運動：快走、慢跑、游泳、騎車等，每週至少 150 分鐘中等強度運動，可促進 HDL（好膽固醇）上升，同時降低 LDL。</w:t>
      </w:r>
    </w:p>
    <w:p w14:paraId="2516EE2A" w14:textId="77777777" w:rsidR="00461CEF" w:rsidRPr="00461CEF" w:rsidRDefault="00461CEF" w:rsidP="00461CEF">
      <w:pPr>
        <w:widowControl/>
        <w:numPr>
          <w:ilvl w:val="0"/>
          <w:numId w:val="12"/>
        </w:numPr>
        <w:shd w:val="clear" w:color="auto" w:fill="FFFFFF"/>
        <w:rPr>
          <w:rFonts w:ascii="標楷體" w:eastAsia="標楷體" w:hAnsi="標楷體" w:cs="Poppins"/>
          <w:b/>
          <w:bCs/>
          <w:kern w:val="0"/>
          <w:sz w:val="26"/>
          <w:szCs w:val="26"/>
        </w:rPr>
      </w:pPr>
      <w:r w:rsidRPr="00461CEF">
        <w:rPr>
          <w:rFonts w:ascii="標楷體" w:eastAsia="標楷體" w:hAnsi="標楷體" w:cs="Poppins"/>
          <w:b/>
          <w:bCs/>
          <w:kern w:val="0"/>
          <w:sz w:val="26"/>
          <w:szCs w:val="26"/>
        </w:rPr>
        <w:t>阻力訓練：如自重或重量訓練，也能改善血脂結構並增加基礎代謝率，有助於長期維持理想膽固醇水平。</w:t>
      </w:r>
    </w:p>
    <w:p w14:paraId="7BBB8776" w14:textId="77777777" w:rsidR="00461CEF" w:rsidRPr="00461CEF" w:rsidRDefault="00461CEF" w:rsidP="00461CEF">
      <w:pPr>
        <w:widowControl/>
        <w:shd w:val="clear" w:color="auto" w:fill="FFFFFF"/>
        <w:outlineLvl w:val="2"/>
        <w:rPr>
          <w:rFonts w:ascii="標楷體" w:eastAsia="標楷體" w:hAnsi="標楷體" w:cs="新細明體"/>
          <w:b/>
          <w:bCs/>
          <w:kern w:val="0"/>
          <w:sz w:val="26"/>
          <w:szCs w:val="26"/>
        </w:rPr>
      </w:pPr>
      <w:r w:rsidRPr="00461CEF">
        <w:rPr>
          <w:rFonts w:ascii="標楷體" w:eastAsia="標楷體" w:hAnsi="標楷體" w:cs="新細明體" w:hint="eastAsia"/>
          <w:b/>
          <w:bCs/>
          <w:kern w:val="0"/>
          <w:sz w:val="26"/>
          <w:szCs w:val="26"/>
        </w:rPr>
        <w:t>3. 控制體重</w:t>
      </w:r>
    </w:p>
    <w:p w14:paraId="6448C1A3" w14:textId="77777777" w:rsidR="00461CEF" w:rsidRPr="00461CEF" w:rsidRDefault="00461CEF" w:rsidP="00461CEF">
      <w:pPr>
        <w:widowControl/>
        <w:numPr>
          <w:ilvl w:val="0"/>
          <w:numId w:val="13"/>
        </w:numPr>
        <w:shd w:val="clear" w:color="auto" w:fill="FFFFFF"/>
        <w:rPr>
          <w:rFonts w:ascii="標楷體" w:eastAsia="標楷體" w:hAnsi="標楷體" w:cs="Poppins" w:hint="eastAsia"/>
          <w:b/>
          <w:bCs/>
          <w:kern w:val="0"/>
          <w:sz w:val="26"/>
          <w:szCs w:val="26"/>
        </w:rPr>
      </w:pPr>
      <w:r w:rsidRPr="00461CEF">
        <w:rPr>
          <w:rFonts w:ascii="標楷體" w:eastAsia="標楷體" w:hAnsi="標楷體" w:cs="Poppins"/>
          <w:b/>
          <w:bCs/>
          <w:kern w:val="0"/>
          <w:sz w:val="26"/>
          <w:szCs w:val="26"/>
        </w:rPr>
        <w:t>過重或肥胖會增加血液中 LDL 與總膽固醇水平，並降低 HDL。</w:t>
      </w:r>
    </w:p>
    <w:p w14:paraId="56396926" w14:textId="77777777" w:rsidR="00461CEF" w:rsidRPr="00461CEF" w:rsidRDefault="00461CEF" w:rsidP="00461CEF">
      <w:pPr>
        <w:widowControl/>
        <w:numPr>
          <w:ilvl w:val="0"/>
          <w:numId w:val="13"/>
        </w:numPr>
        <w:shd w:val="clear" w:color="auto" w:fill="FFFFFF"/>
        <w:rPr>
          <w:rFonts w:ascii="標楷體" w:eastAsia="標楷體" w:hAnsi="標楷體" w:cs="Poppins"/>
          <w:b/>
          <w:bCs/>
          <w:kern w:val="0"/>
          <w:sz w:val="26"/>
          <w:szCs w:val="26"/>
        </w:rPr>
      </w:pPr>
      <w:r w:rsidRPr="00461CEF">
        <w:rPr>
          <w:rFonts w:ascii="標楷體" w:eastAsia="標楷體" w:hAnsi="標楷體" w:cs="Poppins"/>
          <w:b/>
          <w:bCs/>
          <w:kern w:val="0"/>
          <w:sz w:val="26"/>
          <w:szCs w:val="26"/>
        </w:rPr>
        <w:t>即使減少體重 5</w:t>
      </w:r>
      <w:proofErr w:type="gramStart"/>
      <w:r w:rsidRPr="00461CEF">
        <w:rPr>
          <w:rFonts w:ascii="標楷體" w:eastAsia="標楷體" w:hAnsi="標楷體" w:cs="Poppins"/>
          <w:b/>
          <w:bCs/>
          <w:kern w:val="0"/>
          <w:sz w:val="26"/>
          <w:szCs w:val="26"/>
        </w:rPr>
        <w:t>–</w:t>
      </w:r>
      <w:proofErr w:type="gramEnd"/>
      <w:r w:rsidRPr="00461CEF">
        <w:rPr>
          <w:rFonts w:ascii="標楷體" w:eastAsia="標楷體" w:hAnsi="標楷體" w:cs="Poppins"/>
          <w:b/>
          <w:bCs/>
          <w:kern w:val="0"/>
          <w:sz w:val="26"/>
          <w:szCs w:val="26"/>
        </w:rPr>
        <w:t>10%，也能明顯改善血脂，降低心血管風險。</w:t>
      </w:r>
    </w:p>
    <w:p w14:paraId="7383B5F6" w14:textId="77777777" w:rsidR="00461CEF" w:rsidRPr="00461CEF" w:rsidRDefault="00461CEF" w:rsidP="00461CEF">
      <w:pPr>
        <w:widowControl/>
        <w:shd w:val="clear" w:color="auto" w:fill="FFFFFF"/>
        <w:outlineLvl w:val="2"/>
        <w:rPr>
          <w:rFonts w:ascii="標楷體" w:eastAsia="標楷體" w:hAnsi="標楷體" w:cs="新細明體"/>
          <w:b/>
          <w:bCs/>
          <w:kern w:val="0"/>
          <w:sz w:val="26"/>
          <w:szCs w:val="26"/>
        </w:rPr>
      </w:pPr>
      <w:r w:rsidRPr="00461CEF">
        <w:rPr>
          <w:rFonts w:ascii="標楷體" w:eastAsia="標楷體" w:hAnsi="標楷體" w:cs="新細明體" w:hint="eastAsia"/>
          <w:b/>
          <w:bCs/>
          <w:kern w:val="0"/>
          <w:sz w:val="26"/>
          <w:szCs w:val="26"/>
        </w:rPr>
        <w:t>4. 戒菸與減少酒精</w:t>
      </w:r>
    </w:p>
    <w:p w14:paraId="1EE8926F" w14:textId="77777777" w:rsidR="00461CEF" w:rsidRPr="00461CEF" w:rsidRDefault="00461CEF" w:rsidP="00461CEF">
      <w:pPr>
        <w:widowControl/>
        <w:numPr>
          <w:ilvl w:val="0"/>
          <w:numId w:val="14"/>
        </w:numPr>
        <w:shd w:val="clear" w:color="auto" w:fill="FFFFFF"/>
        <w:rPr>
          <w:rFonts w:ascii="標楷體" w:eastAsia="標楷體" w:hAnsi="標楷體" w:cs="Poppins" w:hint="eastAsia"/>
          <w:b/>
          <w:bCs/>
          <w:kern w:val="0"/>
          <w:sz w:val="26"/>
          <w:szCs w:val="26"/>
        </w:rPr>
      </w:pPr>
      <w:r w:rsidRPr="00461CEF">
        <w:rPr>
          <w:rFonts w:ascii="標楷體" w:eastAsia="標楷體" w:hAnsi="標楷體" w:cs="Poppins"/>
          <w:b/>
          <w:bCs/>
          <w:kern w:val="0"/>
          <w:sz w:val="26"/>
          <w:szCs w:val="26"/>
        </w:rPr>
        <w:t>戒菸：菸草會降低 HDL，增加動脈硬化與心血管疾病風險。</w:t>
      </w:r>
    </w:p>
    <w:p w14:paraId="5B466DBC" w14:textId="77777777" w:rsidR="00461CEF" w:rsidRPr="00461CEF" w:rsidRDefault="00461CEF" w:rsidP="00461CEF">
      <w:pPr>
        <w:widowControl/>
        <w:numPr>
          <w:ilvl w:val="0"/>
          <w:numId w:val="14"/>
        </w:numPr>
        <w:shd w:val="clear" w:color="auto" w:fill="FFFFFF"/>
        <w:rPr>
          <w:rFonts w:ascii="標楷體" w:eastAsia="標楷體" w:hAnsi="標楷體" w:cs="Poppins"/>
          <w:b/>
          <w:bCs/>
          <w:kern w:val="0"/>
          <w:sz w:val="26"/>
          <w:szCs w:val="26"/>
        </w:rPr>
      </w:pPr>
      <w:r w:rsidRPr="00461CEF">
        <w:rPr>
          <w:rFonts w:ascii="標楷體" w:eastAsia="標楷體" w:hAnsi="標楷體" w:cs="Poppins"/>
          <w:b/>
          <w:bCs/>
          <w:kern w:val="0"/>
          <w:sz w:val="26"/>
          <w:szCs w:val="26"/>
        </w:rPr>
        <w:t>減少酒精：過量飲酒會升高總膽固醇與三酸甘油脂，建議男性每日酒精攝取不超過 2 標準杯，女性不超過 1 杯。</w:t>
      </w:r>
    </w:p>
    <w:p w14:paraId="37ECB517" w14:textId="77777777" w:rsidR="00461CEF" w:rsidRPr="00461CEF" w:rsidRDefault="00461CEF" w:rsidP="00461CEF">
      <w:pPr>
        <w:widowControl/>
        <w:shd w:val="clear" w:color="auto" w:fill="FFFFFF"/>
        <w:outlineLvl w:val="2"/>
        <w:rPr>
          <w:rFonts w:ascii="標楷體" w:eastAsia="標楷體" w:hAnsi="標楷體" w:cs="新細明體"/>
          <w:b/>
          <w:bCs/>
          <w:kern w:val="0"/>
          <w:sz w:val="26"/>
          <w:szCs w:val="26"/>
        </w:rPr>
      </w:pPr>
      <w:r w:rsidRPr="00461CEF">
        <w:rPr>
          <w:rFonts w:ascii="標楷體" w:eastAsia="標楷體" w:hAnsi="標楷體" w:cs="新細明體" w:hint="eastAsia"/>
          <w:b/>
          <w:bCs/>
          <w:kern w:val="0"/>
          <w:sz w:val="26"/>
          <w:szCs w:val="26"/>
        </w:rPr>
        <w:t>5. 藥物治療</w:t>
      </w:r>
    </w:p>
    <w:p w14:paraId="0EEC0D7F" w14:textId="77777777" w:rsidR="00461CEF" w:rsidRPr="00461CEF" w:rsidRDefault="00461CEF" w:rsidP="00461CEF">
      <w:pPr>
        <w:widowControl/>
        <w:numPr>
          <w:ilvl w:val="0"/>
          <w:numId w:val="15"/>
        </w:numPr>
        <w:shd w:val="clear" w:color="auto" w:fill="FFFFFF"/>
        <w:rPr>
          <w:rFonts w:ascii="標楷體" w:eastAsia="標楷體" w:hAnsi="標楷體" w:cs="Poppins" w:hint="eastAsia"/>
          <w:b/>
          <w:bCs/>
          <w:kern w:val="0"/>
          <w:sz w:val="26"/>
          <w:szCs w:val="26"/>
        </w:rPr>
      </w:pPr>
      <w:r w:rsidRPr="00461CEF">
        <w:rPr>
          <w:rFonts w:ascii="標楷體" w:eastAsia="標楷體" w:hAnsi="標楷體" w:cs="Poppins"/>
          <w:b/>
          <w:bCs/>
          <w:kern w:val="0"/>
          <w:sz w:val="26"/>
          <w:szCs w:val="26"/>
        </w:rPr>
        <w:t>當飲食調整、運動與生活方式改善仍無法達標時，醫師可能建議使用他</w:t>
      </w:r>
      <w:proofErr w:type="gramStart"/>
      <w:r w:rsidRPr="00461CEF">
        <w:rPr>
          <w:rFonts w:ascii="標楷體" w:eastAsia="標楷體" w:hAnsi="標楷體" w:cs="Poppins"/>
          <w:b/>
          <w:bCs/>
          <w:kern w:val="0"/>
          <w:sz w:val="26"/>
          <w:szCs w:val="26"/>
        </w:rPr>
        <w:t>汀</w:t>
      </w:r>
      <w:proofErr w:type="gramEnd"/>
      <w:r w:rsidRPr="00461CEF">
        <w:rPr>
          <w:rFonts w:ascii="標楷體" w:eastAsia="標楷體" w:hAnsi="標楷體" w:cs="Poppins"/>
          <w:b/>
          <w:bCs/>
          <w:kern w:val="0"/>
          <w:sz w:val="26"/>
          <w:szCs w:val="26"/>
        </w:rPr>
        <w:t>類或</w:t>
      </w:r>
      <w:proofErr w:type="gramStart"/>
      <w:r w:rsidRPr="00461CEF">
        <w:rPr>
          <w:rFonts w:ascii="標楷體" w:eastAsia="標楷體" w:hAnsi="標楷體" w:cs="Poppins"/>
          <w:b/>
          <w:bCs/>
          <w:kern w:val="0"/>
          <w:sz w:val="26"/>
          <w:szCs w:val="26"/>
        </w:rPr>
        <w:t>其他降脂藥物</w:t>
      </w:r>
      <w:proofErr w:type="gramEnd"/>
      <w:r w:rsidRPr="00461CEF">
        <w:rPr>
          <w:rFonts w:ascii="標楷體" w:eastAsia="標楷體" w:hAnsi="標楷體" w:cs="Poppins"/>
          <w:b/>
          <w:bCs/>
          <w:kern w:val="0"/>
          <w:sz w:val="26"/>
          <w:szCs w:val="26"/>
        </w:rPr>
        <w:t>，以降低 LDL 和總膽固醇。</w:t>
      </w:r>
    </w:p>
    <w:p w14:paraId="10CE8852" w14:textId="77777777" w:rsidR="00461CEF" w:rsidRPr="00461CEF" w:rsidRDefault="00461CEF" w:rsidP="00461CEF">
      <w:pPr>
        <w:widowControl/>
        <w:numPr>
          <w:ilvl w:val="0"/>
          <w:numId w:val="15"/>
        </w:numPr>
        <w:shd w:val="clear" w:color="auto" w:fill="FFFFFF"/>
        <w:rPr>
          <w:rFonts w:ascii="標楷體" w:eastAsia="標楷體" w:hAnsi="標楷體" w:cs="Poppins"/>
          <w:b/>
          <w:bCs/>
          <w:kern w:val="0"/>
          <w:sz w:val="26"/>
          <w:szCs w:val="26"/>
        </w:rPr>
      </w:pPr>
      <w:r w:rsidRPr="00461CEF">
        <w:rPr>
          <w:rFonts w:ascii="標楷體" w:eastAsia="標楷體" w:hAnsi="標楷體" w:cs="Poppins"/>
          <w:b/>
          <w:bCs/>
          <w:kern w:val="0"/>
          <w:sz w:val="26"/>
          <w:szCs w:val="26"/>
        </w:rPr>
        <w:t>藥物需依醫師處方使用，並搭配定期血脂檢查，以確保療效與安全。</w:t>
      </w:r>
    </w:p>
    <w:p w14:paraId="4BCAE540" w14:textId="41C9AB9B" w:rsidR="00461CEF" w:rsidRPr="00461CEF" w:rsidRDefault="00461CEF">
      <w:pPr>
        <w:rPr>
          <w:rFonts w:ascii="標楷體" w:eastAsia="標楷體" w:hAnsi="標楷體"/>
          <w:b/>
          <w:bCs/>
          <w:sz w:val="26"/>
          <w:szCs w:val="26"/>
        </w:rPr>
      </w:pPr>
    </w:p>
    <w:p w14:paraId="70C92D9A" w14:textId="77777777" w:rsidR="00461CEF" w:rsidRPr="00461CEF" w:rsidRDefault="00461CEF">
      <w:pPr>
        <w:rPr>
          <w:rFonts w:ascii="標楷體" w:eastAsia="標楷體" w:hAnsi="標楷體" w:hint="eastAsia"/>
          <w:b/>
          <w:bCs/>
          <w:sz w:val="26"/>
          <w:szCs w:val="26"/>
        </w:rPr>
      </w:pPr>
    </w:p>
    <w:sectPr w:rsidR="00461CEF" w:rsidRPr="00461CE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56F2B"/>
    <w:multiLevelType w:val="multilevel"/>
    <w:tmpl w:val="4D9CD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B40797"/>
    <w:multiLevelType w:val="multilevel"/>
    <w:tmpl w:val="C43E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A40669"/>
    <w:multiLevelType w:val="multilevel"/>
    <w:tmpl w:val="1B5C1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A6812"/>
    <w:multiLevelType w:val="multilevel"/>
    <w:tmpl w:val="96CA4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9E4621"/>
    <w:multiLevelType w:val="multilevel"/>
    <w:tmpl w:val="202A2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082847"/>
    <w:multiLevelType w:val="multilevel"/>
    <w:tmpl w:val="B3240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53456F"/>
    <w:multiLevelType w:val="multilevel"/>
    <w:tmpl w:val="E77AC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B06E4F"/>
    <w:multiLevelType w:val="multilevel"/>
    <w:tmpl w:val="2FA06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A7120F"/>
    <w:multiLevelType w:val="multilevel"/>
    <w:tmpl w:val="1098F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4F3174"/>
    <w:multiLevelType w:val="multilevel"/>
    <w:tmpl w:val="DFC8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533610"/>
    <w:multiLevelType w:val="multilevel"/>
    <w:tmpl w:val="7248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9021B8"/>
    <w:multiLevelType w:val="multilevel"/>
    <w:tmpl w:val="ACB2A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950E4E"/>
    <w:multiLevelType w:val="multilevel"/>
    <w:tmpl w:val="036ED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051EC6"/>
    <w:multiLevelType w:val="multilevel"/>
    <w:tmpl w:val="AC90B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B46CC4"/>
    <w:multiLevelType w:val="multilevel"/>
    <w:tmpl w:val="B308C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5"/>
  </w:num>
  <w:num w:numId="5">
    <w:abstractNumId w:val="1"/>
  </w:num>
  <w:num w:numId="6">
    <w:abstractNumId w:val="11"/>
  </w:num>
  <w:num w:numId="7">
    <w:abstractNumId w:val="10"/>
  </w:num>
  <w:num w:numId="8">
    <w:abstractNumId w:val="14"/>
  </w:num>
  <w:num w:numId="9">
    <w:abstractNumId w:val="2"/>
  </w:num>
  <w:num w:numId="10">
    <w:abstractNumId w:val="8"/>
  </w:num>
  <w:num w:numId="11">
    <w:abstractNumId w:val="6"/>
  </w:num>
  <w:num w:numId="12">
    <w:abstractNumId w:val="4"/>
  </w:num>
  <w:num w:numId="13">
    <w:abstractNumId w:val="12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0EE"/>
    <w:rsid w:val="00461CEF"/>
    <w:rsid w:val="00D53A0F"/>
    <w:rsid w:val="00FE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2EA82"/>
  <w15:chartTrackingRefBased/>
  <w15:docId w15:val="{26753B0A-0DF9-4E7F-86BA-F4340365D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FE70EE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FE70EE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FE70EE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0"/>
    <w:link w:val="3"/>
    <w:uiPriority w:val="9"/>
    <w:rsid w:val="00FE70EE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customStyle="1" w:styleId="nitro-offscreen">
    <w:name w:val="nitro-offscreen"/>
    <w:basedOn w:val="a"/>
    <w:rsid w:val="00FE70E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FE70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1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2026-04-09T06:26:00Z</dcterms:created>
  <dcterms:modified xsi:type="dcterms:W3CDTF">2026-04-09T06:32:00Z</dcterms:modified>
</cp:coreProperties>
</file>